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5F7" w:rsidRDefault="006655F7" w:rsidP="00976BEB">
      <w:pPr>
        <w:jc w:val="center"/>
        <w:rPr>
          <w:rFonts w:ascii="Century Gothic" w:hAnsi="Century Gothic"/>
          <w:b/>
          <w:sz w:val="24"/>
          <w:szCs w:val="24"/>
        </w:rPr>
      </w:pPr>
      <w:r>
        <w:rPr>
          <w:b/>
          <w:bCs/>
          <w:noProof/>
          <w:color w:val="0000FF"/>
          <w:sz w:val="32"/>
          <w:szCs w:val="32"/>
        </w:rPr>
        <w:drawing>
          <wp:inline distT="0" distB="0" distL="0" distR="0">
            <wp:extent cx="631507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5075" cy="590550"/>
                    </a:xfrm>
                    <a:prstGeom prst="rect">
                      <a:avLst/>
                    </a:prstGeom>
                    <a:noFill/>
                    <a:ln>
                      <a:noFill/>
                    </a:ln>
                  </pic:spPr>
                </pic:pic>
              </a:graphicData>
            </a:graphic>
          </wp:inline>
        </w:drawing>
      </w:r>
    </w:p>
    <w:p w:rsidR="006655F7" w:rsidRPr="00964EC8" w:rsidRDefault="006655F7" w:rsidP="006655F7">
      <w:pPr>
        <w:pStyle w:val="Heading1"/>
        <w:jc w:val="left"/>
        <w:rPr>
          <w:rFonts w:ascii="Century Gothic" w:hAnsi="Century Gothic"/>
          <w:color w:val="0000FF"/>
        </w:rPr>
      </w:pPr>
      <w:r w:rsidRPr="00964EC8">
        <w:rPr>
          <w:rFonts w:ascii="Century Gothic" w:hAnsi="Century Gothic"/>
          <w:color w:val="0000FF"/>
        </w:rPr>
        <w:t>NEWS RELEASE</w:t>
      </w:r>
    </w:p>
    <w:p w:rsidR="006655F7" w:rsidRDefault="006655F7" w:rsidP="006655F7">
      <w:pPr>
        <w:rPr>
          <w:b/>
          <w:color w:val="0000FF"/>
          <w:lang w:val="en-GB"/>
        </w:rPr>
      </w:pPr>
      <w:r>
        <w:rPr>
          <w:b/>
          <w:color w:val="0000FF"/>
          <w:lang w:val="en-GB"/>
        </w:rPr>
        <w:t>01 May 2012</w:t>
      </w:r>
    </w:p>
    <w:p w:rsidR="006655F7" w:rsidRDefault="006655F7" w:rsidP="006655F7">
      <w:pPr>
        <w:rPr>
          <w:rFonts w:ascii="Century Gothic" w:hAnsi="Century Gothic"/>
          <w:b/>
          <w:sz w:val="24"/>
          <w:szCs w:val="24"/>
        </w:rPr>
      </w:pPr>
    </w:p>
    <w:p w:rsidR="00D217C2" w:rsidRPr="006655F7" w:rsidRDefault="00976BEB" w:rsidP="00976BEB">
      <w:pPr>
        <w:jc w:val="center"/>
        <w:rPr>
          <w:rFonts w:ascii="Century Gothic" w:hAnsi="Century Gothic"/>
          <w:b/>
          <w:sz w:val="28"/>
          <w:szCs w:val="28"/>
        </w:rPr>
      </w:pPr>
      <w:r w:rsidRPr="006655F7">
        <w:rPr>
          <w:rFonts w:ascii="Century Gothic" w:hAnsi="Century Gothic"/>
          <w:b/>
          <w:sz w:val="28"/>
          <w:szCs w:val="28"/>
        </w:rPr>
        <w:t>PUBLIC NOTICE</w:t>
      </w:r>
      <w:r w:rsidR="009A7F0A" w:rsidRPr="006655F7">
        <w:rPr>
          <w:rFonts w:ascii="Century Gothic" w:hAnsi="Century Gothic"/>
          <w:b/>
          <w:sz w:val="28"/>
          <w:szCs w:val="28"/>
        </w:rPr>
        <w:t xml:space="preserve"> – CREDIT REPORTING ACT</w:t>
      </w:r>
    </w:p>
    <w:p w:rsidR="00976BEB" w:rsidRPr="00DA36B0" w:rsidRDefault="00976BEB" w:rsidP="003A2799">
      <w:pPr>
        <w:spacing w:after="40"/>
        <w:jc w:val="center"/>
        <w:rPr>
          <w:rFonts w:ascii="Century Gothic" w:hAnsi="Century Gothic" w:cstheme="minorHAnsi"/>
          <w:b/>
          <w:sz w:val="20"/>
          <w:szCs w:val="20"/>
        </w:rPr>
      </w:pPr>
    </w:p>
    <w:p w:rsidR="00D04165" w:rsidRPr="00DA36B0" w:rsidRDefault="00976BEB" w:rsidP="003A2799">
      <w:pPr>
        <w:spacing w:after="40"/>
        <w:jc w:val="both"/>
        <w:rPr>
          <w:rFonts w:ascii="Century Gothic" w:hAnsi="Century Gothic" w:cstheme="minorHAnsi"/>
          <w:sz w:val="20"/>
          <w:szCs w:val="20"/>
        </w:rPr>
      </w:pPr>
      <w:r w:rsidRPr="00DA36B0">
        <w:rPr>
          <w:rFonts w:ascii="Century Gothic" w:hAnsi="Century Gothic" w:cstheme="minorHAnsi"/>
          <w:sz w:val="20"/>
          <w:szCs w:val="20"/>
        </w:rPr>
        <w:t>Bank of Jamaica</w:t>
      </w:r>
      <w:r w:rsidR="00D04165" w:rsidRPr="00DA36B0">
        <w:rPr>
          <w:rFonts w:ascii="Century Gothic" w:hAnsi="Century Gothic" w:cstheme="minorHAnsi"/>
          <w:sz w:val="20"/>
          <w:szCs w:val="20"/>
        </w:rPr>
        <w:t xml:space="preserve">, </w:t>
      </w:r>
      <w:r w:rsidR="000B1A1D" w:rsidRPr="00DA36B0">
        <w:rPr>
          <w:rFonts w:ascii="Century Gothic" w:hAnsi="Century Gothic" w:cstheme="minorHAnsi"/>
          <w:sz w:val="20"/>
          <w:szCs w:val="20"/>
        </w:rPr>
        <w:t xml:space="preserve">the </w:t>
      </w:r>
      <w:r w:rsidR="004F4125" w:rsidRPr="00DA36B0">
        <w:rPr>
          <w:rFonts w:ascii="Century Gothic" w:hAnsi="Century Gothic" w:cstheme="minorHAnsi"/>
          <w:sz w:val="20"/>
          <w:szCs w:val="20"/>
        </w:rPr>
        <w:t xml:space="preserve">designated </w:t>
      </w:r>
      <w:r w:rsidRPr="00DA36B0">
        <w:rPr>
          <w:rFonts w:ascii="Century Gothic" w:hAnsi="Century Gothic" w:cstheme="minorHAnsi"/>
          <w:sz w:val="20"/>
          <w:szCs w:val="20"/>
        </w:rPr>
        <w:t xml:space="preserve">Supervising </w:t>
      </w:r>
      <w:r w:rsidR="000B1A1D" w:rsidRPr="00DA36B0">
        <w:rPr>
          <w:rFonts w:ascii="Century Gothic" w:hAnsi="Century Gothic" w:cstheme="minorHAnsi"/>
          <w:sz w:val="20"/>
          <w:szCs w:val="20"/>
        </w:rPr>
        <w:t>Authority under</w:t>
      </w:r>
      <w:r w:rsidR="00236D95" w:rsidRPr="00DA36B0">
        <w:rPr>
          <w:rFonts w:ascii="Century Gothic" w:hAnsi="Century Gothic" w:cstheme="minorHAnsi"/>
          <w:sz w:val="20"/>
          <w:szCs w:val="20"/>
        </w:rPr>
        <w:t xml:space="preserve"> the Credit Reporting Act</w:t>
      </w:r>
      <w:r w:rsidR="003A2799" w:rsidRPr="00DA36B0">
        <w:rPr>
          <w:rFonts w:ascii="Century Gothic" w:hAnsi="Century Gothic" w:cstheme="minorHAnsi"/>
          <w:sz w:val="20"/>
          <w:szCs w:val="20"/>
        </w:rPr>
        <w:t xml:space="preserve">, </w:t>
      </w:r>
      <w:r w:rsidR="004F4125" w:rsidRPr="00DA36B0">
        <w:rPr>
          <w:rFonts w:ascii="Century Gothic" w:hAnsi="Century Gothic" w:cstheme="minorHAnsi"/>
          <w:sz w:val="20"/>
          <w:szCs w:val="20"/>
        </w:rPr>
        <w:t>2010</w:t>
      </w:r>
      <w:r w:rsidR="00D04165" w:rsidRPr="00DA36B0">
        <w:rPr>
          <w:rFonts w:ascii="Century Gothic" w:hAnsi="Century Gothic" w:cstheme="minorHAnsi"/>
          <w:sz w:val="20"/>
          <w:szCs w:val="20"/>
        </w:rPr>
        <w:t xml:space="preserve">, </w:t>
      </w:r>
      <w:r w:rsidR="003A2799" w:rsidRPr="00DA36B0">
        <w:rPr>
          <w:rFonts w:ascii="Century Gothic" w:hAnsi="Century Gothic" w:cstheme="minorHAnsi"/>
          <w:sz w:val="20"/>
          <w:szCs w:val="20"/>
        </w:rPr>
        <w:t xml:space="preserve">(the “Act”) </w:t>
      </w:r>
      <w:r w:rsidR="004265EC" w:rsidRPr="00DA36B0">
        <w:rPr>
          <w:rFonts w:ascii="Century Gothic" w:hAnsi="Century Gothic" w:cstheme="minorHAnsi"/>
          <w:sz w:val="20"/>
          <w:szCs w:val="20"/>
        </w:rPr>
        <w:t>w</w:t>
      </w:r>
      <w:r w:rsidR="004F4125" w:rsidRPr="00DA36B0">
        <w:rPr>
          <w:rFonts w:ascii="Century Gothic" w:hAnsi="Century Gothic" w:cstheme="minorHAnsi"/>
          <w:sz w:val="20"/>
          <w:szCs w:val="20"/>
        </w:rPr>
        <w:t xml:space="preserve">ishes to bring to the public’s attention, the </w:t>
      </w:r>
      <w:r w:rsidR="003A2799" w:rsidRPr="00DA36B0">
        <w:rPr>
          <w:rFonts w:ascii="Century Gothic" w:hAnsi="Century Gothic" w:cstheme="minorHAnsi"/>
          <w:sz w:val="20"/>
          <w:szCs w:val="20"/>
        </w:rPr>
        <w:t>fo</w:t>
      </w:r>
      <w:bookmarkStart w:id="0" w:name="_GoBack"/>
      <w:bookmarkEnd w:id="0"/>
      <w:r w:rsidR="003A2799" w:rsidRPr="00DA36B0">
        <w:rPr>
          <w:rFonts w:ascii="Century Gothic" w:hAnsi="Century Gothic" w:cstheme="minorHAnsi"/>
          <w:sz w:val="20"/>
          <w:szCs w:val="20"/>
        </w:rPr>
        <w:t>llowing</w:t>
      </w:r>
      <w:r w:rsidR="004F4125" w:rsidRPr="00DA36B0">
        <w:rPr>
          <w:rFonts w:ascii="Century Gothic" w:hAnsi="Century Gothic" w:cstheme="minorHAnsi"/>
          <w:sz w:val="20"/>
          <w:szCs w:val="20"/>
        </w:rPr>
        <w:t xml:space="preserve"> provisions of the Act</w:t>
      </w:r>
      <w:r w:rsidR="00AF4989" w:rsidRPr="00DA36B0">
        <w:rPr>
          <w:rFonts w:ascii="Century Gothic" w:hAnsi="Century Gothic" w:cstheme="minorHAnsi"/>
          <w:sz w:val="20"/>
          <w:szCs w:val="20"/>
        </w:rPr>
        <w:t xml:space="preserve">.  </w:t>
      </w:r>
    </w:p>
    <w:p w:rsidR="00D04165" w:rsidRPr="00DA36B0" w:rsidRDefault="00D04165" w:rsidP="003A2799">
      <w:pPr>
        <w:spacing w:after="40"/>
        <w:jc w:val="both"/>
        <w:rPr>
          <w:rFonts w:ascii="Century Gothic" w:hAnsi="Century Gothic" w:cstheme="minorHAnsi"/>
          <w:sz w:val="20"/>
          <w:szCs w:val="20"/>
        </w:rPr>
      </w:pPr>
    </w:p>
    <w:p w:rsidR="003A2799" w:rsidRPr="00DA36B0" w:rsidRDefault="00D04165" w:rsidP="003A2799">
      <w:pPr>
        <w:pStyle w:val="ListParagraph"/>
        <w:numPr>
          <w:ilvl w:val="0"/>
          <w:numId w:val="2"/>
        </w:numPr>
        <w:spacing w:after="40"/>
        <w:jc w:val="both"/>
        <w:rPr>
          <w:rFonts w:ascii="Century Gothic" w:hAnsi="Century Gothic" w:cstheme="minorHAnsi"/>
          <w:sz w:val="20"/>
          <w:szCs w:val="20"/>
        </w:rPr>
      </w:pPr>
      <w:r w:rsidRPr="00DA36B0">
        <w:rPr>
          <w:rFonts w:ascii="Century Gothic" w:hAnsi="Century Gothic" w:cstheme="minorHAnsi"/>
          <w:b/>
          <w:sz w:val="20"/>
          <w:szCs w:val="20"/>
        </w:rPr>
        <w:t>Section 3(1</w:t>
      </w:r>
      <w:r w:rsidRPr="00DA36B0">
        <w:rPr>
          <w:rFonts w:ascii="Century Gothic" w:hAnsi="Century Gothic" w:cstheme="minorHAnsi"/>
          <w:sz w:val="20"/>
          <w:szCs w:val="20"/>
        </w:rPr>
        <w:t xml:space="preserve">) </w:t>
      </w:r>
      <w:r w:rsidR="007210BC" w:rsidRPr="00DA36B0">
        <w:rPr>
          <w:rFonts w:ascii="Century Gothic" w:hAnsi="Century Gothic" w:cstheme="minorHAnsi"/>
          <w:sz w:val="20"/>
          <w:szCs w:val="20"/>
        </w:rPr>
        <w:t xml:space="preserve">provides </w:t>
      </w:r>
      <w:r w:rsidRPr="00DA36B0">
        <w:rPr>
          <w:rFonts w:ascii="Century Gothic" w:hAnsi="Century Gothic" w:cstheme="minorHAnsi"/>
          <w:sz w:val="20"/>
          <w:szCs w:val="20"/>
        </w:rPr>
        <w:t xml:space="preserve">that </w:t>
      </w:r>
      <w:r w:rsidRPr="00DA36B0">
        <w:rPr>
          <w:rFonts w:ascii="Century Gothic" w:hAnsi="Century Gothic" w:cstheme="minorHAnsi"/>
          <w:i/>
          <w:sz w:val="20"/>
          <w:szCs w:val="20"/>
        </w:rPr>
        <w:t>“</w:t>
      </w:r>
      <w:r w:rsidR="007210BC" w:rsidRPr="00DA36B0">
        <w:rPr>
          <w:rFonts w:ascii="Century Gothic" w:hAnsi="Century Gothic" w:cstheme="minorHAnsi"/>
          <w:i/>
          <w:sz w:val="20"/>
          <w:szCs w:val="20"/>
        </w:rPr>
        <w:t xml:space="preserve">... </w:t>
      </w:r>
      <w:r w:rsidRPr="00DA36B0">
        <w:rPr>
          <w:rFonts w:ascii="Century Gothic" w:hAnsi="Century Gothic" w:cstheme="minorHAnsi"/>
          <w:i/>
          <w:sz w:val="20"/>
          <w:szCs w:val="20"/>
        </w:rPr>
        <w:t>a person who discloses credit information about a consumer in return for monetary payment or other reward or as part of any business or undertaking, whether for profit or otherwise, commits an offence”</w:t>
      </w:r>
      <w:r w:rsidRPr="00DA36B0">
        <w:rPr>
          <w:rFonts w:ascii="Century Gothic" w:hAnsi="Century Gothic" w:cstheme="minorHAnsi"/>
          <w:sz w:val="20"/>
          <w:szCs w:val="20"/>
        </w:rPr>
        <w:t xml:space="preserve"> </w:t>
      </w:r>
      <w:r w:rsidR="00014887" w:rsidRPr="00DA36B0">
        <w:rPr>
          <w:rFonts w:ascii="Century Gothic" w:hAnsi="Century Gothic" w:cstheme="minorHAnsi"/>
          <w:sz w:val="20"/>
          <w:szCs w:val="20"/>
        </w:rPr>
        <w:t xml:space="preserve">unless duly authorized under the Act. </w:t>
      </w:r>
      <w:r w:rsidRPr="00DA36B0">
        <w:rPr>
          <w:rFonts w:ascii="Century Gothic" w:hAnsi="Century Gothic" w:cstheme="minorHAnsi"/>
          <w:sz w:val="20"/>
          <w:szCs w:val="20"/>
        </w:rPr>
        <w:t xml:space="preserve"> </w:t>
      </w:r>
    </w:p>
    <w:p w:rsidR="003A2799" w:rsidRPr="00DA36B0" w:rsidRDefault="003A2799" w:rsidP="003A2799">
      <w:pPr>
        <w:spacing w:after="40"/>
        <w:jc w:val="both"/>
        <w:rPr>
          <w:rFonts w:ascii="Century Gothic" w:hAnsi="Century Gothic" w:cstheme="minorHAnsi"/>
          <w:sz w:val="20"/>
          <w:szCs w:val="20"/>
        </w:rPr>
      </w:pPr>
    </w:p>
    <w:p w:rsidR="00D04165" w:rsidRPr="00DA36B0" w:rsidRDefault="00014887" w:rsidP="003A2799">
      <w:pPr>
        <w:spacing w:after="40"/>
        <w:ind w:left="720"/>
        <w:jc w:val="both"/>
        <w:rPr>
          <w:rFonts w:ascii="Century Gothic" w:hAnsi="Century Gothic" w:cstheme="minorHAnsi"/>
          <w:sz w:val="20"/>
          <w:szCs w:val="20"/>
        </w:rPr>
      </w:pPr>
      <w:r w:rsidRPr="00DA36B0">
        <w:rPr>
          <w:rFonts w:ascii="Century Gothic" w:hAnsi="Century Gothic" w:cstheme="minorHAnsi"/>
          <w:sz w:val="20"/>
          <w:szCs w:val="20"/>
        </w:rPr>
        <w:t>C</w:t>
      </w:r>
      <w:r w:rsidR="00D04165" w:rsidRPr="00DA36B0">
        <w:rPr>
          <w:rFonts w:ascii="Century Gothic" w:hAnsi="Century Gothic" w:cstheme="minorHAnsi"/>
          <w:sz w:val="20"/>
          <w:szCs w:val="20"/>
        </w:rPr>
        <w:t>ommission of this offence</w:t>
      </w:r>
      <w:r w:rsidRPr="00DA36B0">
        <w:rPr>
          <w:rFonts w:ascii="Century Gothic" w:hAnsi="Century Gothic" w:cstheme="minorHAnsi"/>
          <w:sz w:val="20"/>
          <w:szCs w:val="20"/>
        </w:rPr>
        <w:t xml:space="preserve"> attracts a penalty</w:t>
      </w:r>
      <w:r w:rsidR="00D04165" w:rsidRPr="00DA36B0">
        <w:rPr>
          <w:rFonts w:ascii="Century Gothic" w:hAnsi="Century Gothic" w:cstheme="minorHAnsi"/>
          <w:sz w:val="20"/>
          <w:szCs w:val="20"/>
        </w:rPr>
        <w:t xml:space="preserve"> upon conviction </w:t>
      </w:r>
      <w:r w:rsidRPr="00DA36B0">
        <w:rPr>
          <w:rFonts w:ascii="Century Gothic" w:hAnsi="Century Gothic" w:cstheme="minorHAnsi"/>
          <w:sz w:val="20"/>
          <w:szCs w:val="20"/>
        </w:rPr>
        <w:t xml:space="preserve">of </w:t>
      </w:r>
      <w:r w:rsidR="00D04165" w:rsidRPr="00DA36B0">
        <w:rPr>
          <w:rFonts w:ascii="Century Gothic" w:hAnsi="Century Gothic" w:cstheme="minorHAnsi"/>
          <w:sz w:val="20"/>
          <w:szCs w:val="20"/>
        </w:rPr>
        <w:t xml:space="preserve">a fine </w:t>
      </w:r>
      <w:r w:rsidR="00AE4B8F" w:rsidRPr="00DA36B0">
        <w:rPr>
          <w:rFonts w:ascii="Century Gothic" w:hAnsi="Century Gothic" w:cstheme="minorHAnsi"/>
          <w:sz w:val="20"/>
          <w:szCs w:val="20"/>
        </w:rPr>
        <w:t>n</w:t>
      </w:r>
      <w:r w:rsidR="00D04165" w:rsidRPr="00DA36B0">
        <w:rPr>
          <w:rFonts w:ascii="Century Gothic" w:hAnsi="Century Gothic" w:cstheme="minorHAnsi"/>
          <w:sz w:val="20"/>
          <w:szCs w:val="20"/>
        </w:rPr>
        <w:t>ot exceeding two million dollars</w:t>
      </w:r>
      <w:r w:rsidR="00AE4B8F" w:rsidRPr="00DA36B0">
        <w:rPr>
          <w:rFonts w:ascii="Century Gothic" w:hAnsi="Century Gothic" w:cstheme="minorHAnsi"/>
          <w:sz w:val="20"/>
          <w:szCs w:val="20"/>
        </w:rPr>
        <w:t xml:space="preserve"> (J$2,000,000.00)</w:t>
      </w:r>
      <w:r w:rsidR="004063F1" w:rsidRPr="00DA36B0">
        <w:rPr>
          <w:rFonts w:ascii="Century Gothic" w:hAnsi="Century Gothic" w:cstheme="minorHAnsi"/>
          <w:sz w:val="20"/>
          <w:szCs w:val="20"/>
        </w:rPr>
        <w:t xml:space="preserve"> </w:t>
      </w:r>
      <w:r w:rsidR="00D04165" w:rsidRPr="00DA36B0">
        <w:rPr>
          <w:rFonts w:ascii="Century Gothic" w:hAnsi="Century Gothic" w:cstheme="minorHAnsi"/>
          <w:sz w:val="20"/>
          <w:szCs w:val="20"/>
        </w:rPr>
        <w:t xml:space="preserve">or imprisonment for a term not exceeding one year, or both fine and imprisonment. </w:t>
      </w:r>
      <w:r w:rsidRPr="00DA36B0">
        <w:rPr>
          <w:rFonts w:ascii="Century Gothic" w:hAnsi="Century Gothic" w:cstheme="minorHAnsi"/>
          <w:sz w:val="20"/>
          <w:szCs w:val="20"/>
        </w:rPr>
        <w:t>(Fifth Schedule of the Act)</w:t>
      </w:r>
    </w:p>
    <w:p w:rsidR="00D04165" w:rsidRPr="00DA36B0" w:rsidRDefault="00D04165" w:rsidP="003A2799">
      <w:pPr>
        <w:spacing w:after="40"/>
        <w:jc w:val="both"/>
        <w:rPr>
          <w:rFonts w:ascii="Century Gothic" w:hAnsi="Century Gothic" w:cstheme="minorHAnsi"/>
          <w:sz w:val="20"/>
          <w:szCs w:val="20"/>
        </w:rPr>
      </w:pPr>
    </w:p>
    <w:p w:rsidR="003A2799" w:rsidRPr="00DA36B0" w:rsidRDefault="00D04165" w:rsidP="003A2799">
      <w:pPr>
        <w:pStyle w:val="ListParagraph"/>
        <w:numPr>
          <w:ilvl w:val="0"/>
          <w:numId w:val="2"/>
        </w:numPr>
        <w:spacing w:after="40"/>
        <w:jc w:val="both"/>
        <w:rPr>
          <w:rFonts w:ascii="Century Gothic" w:hAnsi="Century Gothic" w:cstheme="minorHAnsi"/>
          <w:b/>
          <w:i/>
          <w:sz w:val="20"/>
          <w:szCs w:val="20"/>
        </w:rPr>
      </w:pPr>
      <w:r w:rsidRPr="00DA36B0">
        <w:rPr>
          <w:rFonts w:ascii="Century Gothic" w:hAnsi="Century Gothic" w:cstheme="minorHAnsi"/>
          <w:b/>
          <w:sz w:val="20"/>
          <w:szCs w:val="20"/>
        </w:rPr>
        <w:t>S</w:t>
      </w:r>
      <w:r w:rsidR="00ED6817" w:rsidRPr="00DA36B0">
        <w:rPr>
          <w:rFonts w:ascii="Century Gothic" w:hAnsi="Century Gothic" w:cstheme="minorHAnsi"/>
          <w:b/>
          <w:sz w:val="20"/>
          <w:szCs w:val="20"/>
        </w:rPr>
        <w:t>ection 4</w:t>
      </w:r>
      <w:r w:rsidR="002B4617" w:rsidRPr="00DA36B0">
        <w:rPr>
          <w:rFonts w:ascii="Century Gothic" w:hAnsi="Century Gothic" w:cstheme="minorHAnsi"/>
          <w:b/>
          <w:sz w:val="20"/>
          <w:szCs w:val="20"/>
        </w:rPr>
        <w:t>(7)</w:t>
      </w:r>
      <w:r w:rsidR="002B4617" w:rsidRPr="00DA36B0">
        <w:rPr>
          <w:rFonts w:ascii="Century Gothic" w:hAnsi="Century Gothic" w:cstheme="minorHAnsi"/>
          <w:sz w:val="20"/>
          <w:szCs w:val="20"/>
        </w:rPr>
        <w:t xml:space="preserve"> states that </w:t>
      </w:r>
      <w:r w:rsidR="002B4617" w:rsidRPr="00DA36B0">
        <w:rPr>
          <w:rFonts w:ascii="Century Gothic" w:hAnsi="Century Gothic" w:cstheme="minorHAnsi"/>
          <w:i/>
          <w:sz w:val="20"/>
          <w:szCs w:val="20"/>
        </w:rPr>
        <w:t>“</w:t>
      </w:r>
      <w:r w:rsidR="00407D79" w:rsidRPr="00DA36B0">
        <w:rPr>
          <w:rFonts w:ascii="Century Gothic" w:hAnsi="Century Gothic" w:cstheme="minorHAnsi"/>
          <w:i/>
          <w:sz w:val="20"/>
          <w:szCs w:val="20"/>
        </w:rPr>
        <w:t>…</w:t>
      </w:r>
      <w:r w:rsidR="002B4617" w:rsidRPr="00DA36B0">
        <w:rPr>
          <w:rFonts w:ascii="Century Gothic" w:hAnsi="Century Gothic" w:cstheme="minorHAnsi"/>
          <w:i/>
          <w:sz w:val="20"/>
          <w:szCs w:val="20"/>
        </w:rPr>
        <w:t xml:space="preserve">a person, </w:t>
      </w:r>
      <w:r w:rsidR="00407D79" w:rsidRPr="00DA36B0">
        <w:rPr>
          <w:rFonts w:ascii="Century Gothic" w:hAnsi="Century Gothic" w:cstheme="minorHAnsi"/>
          <w:i/>
          <w:sz w:val="20"/>
          <w:szCs w:val="20"/>
        </w:rPr>
        <w:t>other than</w:t>
      </w:r>
      <w:r w:rsidR="002B4617" w:rsidRPr="00DA36B0">
        <w:rPr>
          <w:rFonts w:ascii="Century Gothic" w:hAnsi="Century Gothic" w:cstheme="minorHAnsi"/>
          <w:i/>
          <w:sz w:val="20"/>
          <w:szCs w:val="20"/>
        </w:rPr>
        <w:t xml:space="preserve"> a company licensed under th</w:t>
      </w:r>
      <w:r w:rsidR="007210BC" w:rsidRPr="00DA36B0">
        <w:rPr>
          <w:rFonts w:ascii="Century Gothic" w:hAnsi="Century Gothic" w:cstheme="minorHAnsi"/>
          <w:i/>
          <w:sz w:val="20"/>
          <w:szCs w:val="20"/>
        </w:rPr>
        <w:t>is</w:t>
      </w:r>
      <w:r w:rsidR="002B4617" w:rsidRPr="00DA36B0">
        <w:rPr>
          <w:rFonts w:ascii="Century Gothic" w:hAnsi="Century Gothic" w:cstheme="minorHAnsi"/>
          <w:i/>
          <w:sz w:val="20"/>
          <w:szCs w:val="20"/>
        </w:rPr>
        <w:t xml:space="preserve"> Act commits an offence if that person, without the approval of the Minister, uses in connection with any business or undertaking carried on by that person, the words ‘credit bureau’ or any other words which could reasonably be construed as indicating that the person carries on the business of a credit bureau”</w:t>
      </w:r>
      <w:r w:rsidR="003D7BB8" w:rsidRPr="00DA36B0">
        <w:rPr>
          <w:rFonts w:ascii="Century Gothic" w:hAnsi="Century Gothic" w:cstheme="minorHAnsi"/>
          <w:i/>
          <w:sz w:val="20"/>
          <w:szCs w:val="20"/>
        </w:rPr>
        <w:t>.</w:t>
      </w:r>
      <w:r w:rsidR="003D7BB8" w:rsidRPr="00DA36B0">
        <w:rPr>
          <w:rFonts w:ascii="Century Gothic" w:hAnsi="Century Gothic" w:cstheme="minorHAnsi"/>
          <w:b/>
          <w:i/>
          <w:sz w:val="20"/>
          <w:szCs w:val="20"/>
        </w:rPr>
        <w:t xml:space="preserve">  </w:t>
      </w:r>
    </w:p>
    <w:p w:rsidR="003A2799" w:rsidRPr="00DA36B0" w:rsidRDefault="003A2799" w:rsidP="003A2799">
      <w:pPr>
        <w:pStyle w:val="ListParagraph"/>
        <w:spacing w:after="40"/>
        <w:jc w:val="both"/>
        <w:rPr>
          <w:rFonts w:ascii="Century Gothic" w:hAnsi="Century Gothic" w:cstheme="minorHAnsi"/>
          <w:b/>
          <w:i/>
          <w:sz w:val="20"/>
          <w:szCs w:val="20"/>
        </w:rPr>
      </w:pPr>
    </w:p>
    <w:p w:rsidR="003D7BB8" w:rsidRPr="00DA36B0" w:rsidRDefault="00014887" w:rsidP="003A2799">
      <w:pPr>
        <w:spacing w:after="40"/>
        <w:ind w:left="720"/>
        <w:jc w:val="both"/>
        <w:rPr>
          <w:rFonts w:ascii="Century Gothic" w:hAnsi="Century Gothic" w:cstheme="minorHAnsi"/>
          <w:b/>
          <w:i/>
          <w:sz w:val="20"/>
          <w:szCs w:val="20"/>
        </w:rPr>
      </w:pPr>
      <w:r w:rsidRPr="00DA36B0">
        <w:rPr>
          <w:rFonts w:ascii="Century Gothic" w:hAnsi="Century Gothic" w:cstheme="minorHAnsi"/>
          <w:i/>
          <w:sz w:val="20"/>
          <w:szCs w:val="20"/>
        </w:rPr>
        <w:t>C</w:t>
      </w:r>
      <w:r w:rsidR="003D7BB8" w:rsidRPr="00DA36B0">
        <w:rPr>
          <w:rFonts w:ascii="Century Gothic" w:hAnsi="Century Gothic" w:cstheme="minorHAnsi"/>
          <w:sz w:val="20"/>
          <w:szCs w:val="20"/>
        </w:rPr>
        <w:t>ommission of this offence is punishable upon conviction to a fine not exceeding five hundred thousand dollars</w:t>
      </w:r>
      <w:r w:rsidR="00AE4B8F" w:rsidRPr="00DA36B0">
        <w:rPr>
          <w:rFonts w:ascii="Century Gothic" w:hAnsi="Century Gothic" w:cstheme="minorHAnsi"/>
          <w:sz w:val="20"/>
          <w:szCs w:val="20"/>
        </w:rPr>
        <w:t xml:space="preserve"> (J$500,000.00)</w:t>
      </w:r>
      <w:r w:rsidR="003D7BB8" w:rsidRPr="00DA36B0">
        <w:rPr>
          <w:rFonts w:ascii="Century Gothic" w:hAnsi="Century Gothic" w:cstheme="minorHAnsi"/>
          <w:sz w:val="20"/>
          <w:szCs w:val="20"/>
        </w:rPr>
        <w:t>.</w:t>
      </w:r>
      <w:r w:rsidR="003D7BB8" w:rsidRPr="00DA36B0">
        <w:rPr>
          <w:rFonts w:ascii="Century Gothic" w:hAnsi="Century Gothic" w:cstheme="minorHAnsi"/>
          <w:b/>
          <w:i/>
          <w:sz w:val="20"/>
          <w:szCs w:val="20"/>
        </w:rPr>
        <w:t xml:space="preserve">  </w:t>
      </w:r>
      <w:r w:rsidRPr="00DA36B0">
        <w:rPr>
          <w:rFonts w:ascii="Century Gothic" w:hAnsi="Century Gothic" w:cstheme="minorHAnsi"/>
          <w:sz w:val="20"/>
          <w:szCs w:val="20"/>
        </w:rPr>
        <w:t>(Fifth Schedule of the Act)</w:t>
      </w:r>
    </w:p>
    <w:p w:rsidR="003D7BB8" w:rsidRPr="00DA36B0" w:rsidRDefault="003D7BB8" w:rsidP="003A2799">
      <w:pPr>
        <w:spacing w:after="40"/>
        <w:rPr>
          <w:rFonts w:ascii="Century Gothic" w:hAnsi="Century Gothic" w:cstheme="minorHAnsi"/>
          <w:b/>
          <w:i/>
          <w:sz w:val="20"/>
          <w:szCs w:val="20"/>
        </w:rPr>
      </w:pPr>
    </w:p>
    <w:p w:rsidR="0092658A" w:rsidRPr="00DA36B0" w:rsidRDefault="00086624" w:rsidP="00DA36B0">
      <w:pPr>
        <w:spacing w:after="40"/>
        <w:jc w:val="both"/>
        <w:rPr>
          <w:rFonts w:ascii="Century Gothic" w:hAnsi="Century Gothic" w:cstheme="minorHAnsi"/>
          <w:sz w:val="20"/>
          <w:szCs w:val="20"/>
        </w:rPr>
      </w:pPr>
      <w:r w:rsidRPr="00DA36B0">
        <w:rPr>
          <w:rFonts w:ascii="Century Gothic" w:hAnsi="Century Gothic" w:cstheme="minorHAnsi"/>
          <w:sz w:val="20"/>
          <w:szCs w:val="20"/>
        </w:rPr>
        <w:t xml:space="preserve">All persons or companies </w:t>
      </w:r>
      <w:r w:rsidR="007210BC" w:rsidRPr="00DA36B0">
        <w:rPr>
          <w:rFonts w:ascii="Century Gothic" w:hAnsi="Century Gothic" w:cstheme="minorHAnsi"/>
          <w:sz w:val="20"/>
          <w:szCs w:val="20"/>
        </w:rPr>
        <w:t xml:space="preserve">not duly authorized </w:t>
      </w:r>
      <w:r w:rsidR="00014887" w:rsidRPr="00DA36B0">
        <w:rPr>
          <w:rFonts w:ascii="Century Gothic" w:hAnsi="Century Gothic" w:cstheme="minorHAnsi"/>
          <w:sz w:val="20"/>
          <w:szCs w:val="20"/>
        </w:rPr>
        <w:t xml:space="preserve">in relation </w:t>
      </w:r>
      <w:r w:rsidRPr="00DA36B0">
        <w:rPr>
          <w:rFonts w:ascii="Century Gothic" w:hAnsi="Century Gothic" w:cstheme="minorHAnsi"/>
          <w:sz w:val="20"/>
          <w:szCs w:val="20"/>
        </w:rPr>
        <w:t xml:space="preserve">to the above provisions </w:t>
      </w:r>
      <w:r w:rsidR="00DA36B0">
        <w:rPr>
          <w:rFonts w:ascii="Century Gothic" w:hAnsi="Century Gothic" w:cstheme="minorHAnsi"/>
          <w:sz w:val="20"/>
          <w:szCs w:val="20"/>
        </w:rPr>
        <w:t>under the Credit Reporting Act</w:t>
      </w:r>
      <w:r w:rsidR="00014887" w:rsidRPr="00DA36B0">
        <w:rPr>
          <w:rFonts w:ascii="Century Gothic" w:hAnsi="Century Gothic" w:cstheme="minorHAnsi"/>
          <w:sz w:val="20"/>
          <w:szCs w:val="20"/>
        </w:rPr>
        <w:t xml:space="preserve"> </w:t>
      </w:r>
      <w:r w:rsidR="00AC6E21" w:rsidRPr="00DA36B0">
        <w:rPr>
          <w:rFonts w:ascii="Century Gothic" w:hAnsi="Century Gothic" w:cstheme="minorHAnsi"/>
          <w:sz w:val="20"/>
          <w:szCs w:val="20"/>
        </w:rPr>
        <w:t>are required</w:t>
      </w:r>
      <w:r w:rsidRPr="00DA36B0">
        <w:rPr>
          <w:rFonts w:ascii="Century Gothic" w:hAnsi="Century Gothic" w:cstheme="minorHAnsi"/>
          <w:sz w:val="20"/>
          <w:szCs w:val="20"/>
        </w:rPr>
        <w:t xml:space="preserve"> to immediately desist from</w:t>
      </w:r>
      <w:r w:rsidR="0092658A" w:rsidRPr="00DA36B0">
        <w:rPr>
          <w:rFonts w:ascii="Century Gothic" w:hAnsi="Century Gothic" w:cstheme="minorHAnsi"/>
          <w:sz w:val="20"/>
          <w:szCs w:val="20"/>
        </w:rPr>
        <w:t>:</w:t>
      </w:r>
    </w:p>
    <w:p w:rsidR="003A2799" w:rsidRPr="00DA36B0" w:rsidRDefault="003A2799" w:rsidP="003A2799">
      <w:pPr>
        <w:spacing w:after="40"/>
        <w:rPr>
          <w:rFonts w:ascii="Century Gothic" w:hAnsi="Century Gothic" w:cstheme="minorHAnsi"/>
          <w:sz w:val="20"/>
          <w:szCs w:val="20"/>
        </w:rPr>
      </w:pPr>
    </w:p>
    <w:p w:rsidR="00086624" w:rsidRPr="00DA36B0" w:rsidRDefault="00AC6E21" w:rsidP="003A2799">
      <w:pPr>
        <w:pStyle w:val="ListParagraph"/>
        <w:numPr>
          <w:ilvl w:val="0"/>
          <w:numId w:val="1"/>
        </w:numPr>
        <w:spacing w:after="40"/>
        <w:jc w:val="both"/>
        <w:rPr>
          <w:rFonts w:ascii="Century Gothic" w:hAnsi="Century Gothic" w:cstheme="minorHAnsi"/>
          <w:sz w:val="20"/>
          <w:szCs w:val="20"/>
        </w:rPr>
      </w:pPr>
      <w:r w:rsidRPr="00DA36B0">
        <w:rPr>
          <w:rFonts w:ascii="Century Gothic" w:hAnsi="Century Gothic" w:cstheme="minorHAnsi"/>
          <w:sz w:val="20"/>
          <w:szCs w:val="20"/>
        </w:rPr>
        <w:t>C</w:t>
      </w:r>
      <w:r w:rsidR="00086624" w:rsidRPr="00DA36B0">
        <w:rPr>
          <w:rFonts w:ascii="Century Gothic" w:hAnsi="Century Gothic" w:cstheme="minorHAnsi"/>
          <w:sz w:val="20"/>
          <w:szCs w:val="20"/>
        </w:rPr>
        <w:t>onducting the business of disclosing credit i</w:t>
      </w:r>
      <w:r w:rsidRPr="00DA36B0">
        <w:rPr>
          <w:rFonts w:ascii="Century Gothic" w:hAnsi="Century Gothic" w:cstheme="minorHAnsi"/>
          <w:sz w:val="20"/>
          <w:szCs w:val="20"/>
        </w:rPr>
        <w:t>nformation about a customer;</w:t>
      </w:r>
    </w:p>
    <w:p w:rsidR="00DB0EC5" w:rsidRPr="00DA36B0" w:rsidRDefault="00AC6E21" w:rsidP="003A2799">
      <w:pPr>
        <w:pStyle w:val="ListParagraph"/>
        <w:numPr>
          <w:ilvl w:val="0"/>
          <w:numId w:val="1"/>
        </w:numPr>
        <w:spacing w:after="40"/>
        <w:jc w:val="both"/>
        <w:rPr>
          <w:rFonts w:ascii="Century Gothic" w:hAnsi="Century Gothic" w:cstheme="minorHAnsi"/>
          <w:sz w:val="20"/>
          <w:szCs w:val="20"/>
        </w:rPr>
      </w:pPr>
      <w:r w:rsidRPr="00DA36B0">
        <w:rPr>
          <w:rFonts w:ascii="Century Gothic" w:hAnsi="Century Gothic" w:cstheme="minorHAnsi"/>
          <w:sz w:val="20"/>
          <w:szCs w:val="20"/>
        </w:rPr>
        <w:t>Utilizing the words</w:t>
      </w:r>
      <w:r w:rsidR="000A11D3" w:rsidRPr="00DA36B0">
        <w:rPr>
          <w:rFonts w:ascii="Century Gothic" w:hAnsi="Century Gothic" w:cstheme="minorHAnsi"/>
          <w:sz w:val="20"/>
          <w:szCs w:val="20"/>
        </w:rPr>
        <w:t xml:space="preserve"> “credit bureau” </w:t>
      </w:r>
      <w:r w:rsidR="00086624" w:rsidRPr="00DA36B0">
        <w:rPr>
          <w:rFonts w:ascii="Century Gothic" w:hAnsi="Century Gothic" w:cstheme="minorHAnsi"/>
          <w:sz w:val="20"/>
          <w:szCs w:val="20"/>
        </w:rPr>
        <w:t xml:space="preserve">or other similar words which could be construed as indicating the business of a credit bureau </w:t>
      </w:r>
      <w:r w:rsidR="000A11D3" w:rsidRPr="00DA36B0">
        <w:rPr>
          <w:rFonts w:ascii="Century Gothic" w:hAnsi="Century Gothic" w:cstheme="minorHAnsi"/>
          <w:sz w:val="20"/>
          <w:szCs w:val="20"/>
        </w:rPr>
        <w:t>in the name of their companies</w:t>
      </w:r>
      <w:r w:rsidRPr="00DA36B0">
        <w:rPr>
          <w:rFonts w:ascii="Century Gothic" w:hAnsi="Century Gothic" w:cstheme="minorHAnsi"/>
          <w:sz w:val="20"/>
          <w:szCs w:val="20"/>
        </w:rPr>
        <w:t xml:space="preserve">. </w:t>
      </w:r>
      <w:r w:rsidR="000A11D3" w:rsidRPr="00DA36B0">
        <w:rPr>
          <w:rFonts w:ascii="Century Gothic" w:hAnsi="Century Gothic" w:cstheme="minorHAnsi"/>
          <w:sz w:val="20"/>
          <w:szCs w:val="20"/>
        </w:rPr>
        <w:t xml:space="preserve"> </w:t>
      </w:r>
      <w:r w:rsidRPr="00DA36B0">
        <w:rPr>
          <w:rFonts w:ascii="Century Gothic" w:hAnsi="Century Gothic" w:cstheme="minorHAnsi"/>
          <w:sz w:val="20"/>
          <w:szCs w:val="20"/>
        </w:rPr>
        <w:t xml:space="preserve">These words should also be </w:t>
      </w:r>
      <w:r w:rsidR="000A11D3" w:rsidRPr="00DA36B0">
        <w:rPr>
          <w:rFonts w:ascii="Century Gothic" w:hAnsi="Century Gothic" w:cstheme="minorHAnsi"/>
          <w:sz w:val="20"/>
          <w:szCs w:val="20"/>
        </w:rPr>
        <w:t>formally exclud</w:t>
      </w:r>
      <w:r w:rsidRPr="00DA36B0">
        <w:rPr>
          <w:rFonts w:ascii="Century Gothic" w:hAnsi="Century Gothic" w:cstheme="minorHAnsi"/>
          <w:sz w:val="20"/>
          <w:szCs w:val="20"/>
        </w:rPr>
        <w:t>ed f</w:t>
      </w:r>
      <w:r w:rsidR="000A11D3" w:rsidRPr="00DA36B0">
        <w:rPr>
          <w:rFonts w:ascii="Century Gothic" w:hAnsi="Century Gothic" w:cstheme="minorHAnsi"/>
          <w:sz w:val="20"/>
          <w:szCs w:val="20"/>
        </w:rPr>
        <w:t xml:space="preserve">rom the registered name, company stationery, listings, directories, filings as well as from </w:t>
      </w:r>
      <w:r w:rsidR="005B1352" w:rsidRPr="00DA36B0">
        <w:rPr>
          <w:rFonts w:ascii="Century Gothic" w:hAnsi="Century Gothic" w:cstheme="minorHAnsi"/>
          <w:sz w:val="20"/>
          <w:szCs w:val="20"/>
        </w:rPr>
        <w:t xml:space="preserve">any </w:t>
      </w:r>
      <w:r w:rsidR="00DB0EC5" w:rsidRPr="00DA36B0">
        <w:rPr>
          <w:rFonts w:ascii="Century Gothic" w:hAnsi="Century Gothic" w:cstheme="minorHAnsi"/>
          <w:sz w:val="20"/>
          <w:szCs w:val="20"/>
        </w:rPr>
        <w:t>o</w:t>
      </w:r>
      <w:r w:rsidRPr="00DA36B0">
        <w:rPr>
          <w:rFonts w:ascii="Century Gothic" w:hAnsi="Century Gothic" w:cstheme="minorHAnsi"/>
          <w:sz w:val="20"/>
          <w:szCs w:val="20"/>
        </w:rPr>
        <w:t>ther references to the company.</w:t>
      </w:r>
    </w:p>
    <w:p w:rsidR="003A2799" w:rsidRPr="00DA36B0" w:rsidRDefault="003A2799" w:rsidP="003A2799">
      <w:pPr>
        <w:spacing w:after="40"/>
        <w:jc w:val="both"/>
        <w:rPr>
          <w:rFonts w:ascii="Century Gothic" w:hAnsi="Century Gothic" w:cstheme="minorHAnsi"/>
          <w:sz w:val="20"/>
          <w:szCs w:val="20"/>
        </w:rPr>
      </w:pPr>
    </w:p>
    <w:p w:rsidR="00887BAA" w:rsidRDefault="004063F1" w:rsidP="003A2799">
      <w:pPr>
        <w:spacing w:after="40"/>
        <w:jc w:val="both"/>
        <w:rPr>
          <w:rFonts w:ascii="Century Gothic" w:hAnsi="Century Gothic" w:cstheme="minorHAnsi"/>
          <w:sz w:val="20"/>
          <w:szCs w:val="20"/>
        </w:rPr>
      </w:pPr>
      <w:r w:rsidRPr="00DA36B0">
        <w:rPr>
          <w:rFonts w:ascii="Century Gothic" w:hAnsi="Century Gothic" w:cstheme="minorHAnsi"/>
          <w:sz w:val="20"/>
          <w:szCs w:val="20"/>
        </w:rPr>
        <w:t xml:space="preserve">All </w:t>
      </w:r>
      <w:r w:rsidR="00651ABE" w:rsidRPr="00DA36B0">
        <w:rPr>
          <w:rFonts w:ascii="Century Gothic" w:hAnsi="Century Gothic" w:cstheme="minorHAnsi"/>
          <w:sz w:val="20"/>
          <w:szCs w:val="20"/>
        </w:rPr>
        <w:t xml:space="preserve">such </w:t>
      </w:r>
      <w:r w:rsidR="00887BAA" w:rsidRPr="00DA36B0">
        <w:rPr>
          <w:rFonts w:ascii="Century Gothic" w:hAnsi="Century Gothic" w:cstheme="minorHAnsi"/>
          <w:sz w:val="20"/>
          <w:szCs w:val="20"/>
        </w:rPr>
        <w:t xml:space="preserve">persons or companies </w:t>
      </w:r>
      <w:r w:rsidR="00651ABE" w:rsidRPr="00DA36B0">
        <w:rPr>
          <w:rFonts w:ascii="Century Gothic" w:hAnsi="Century Gothic" w:cstheme="minorHAnsi"/>
          <w:sz w:val="20"/>
          <w:szCs w:val="20"/>
        </w:rPr>
        <w:t xml:space="preserve">as well as </w:t>
      </w:r>
      <w:r w:rsidRPr="00DA36B0">
        <w:rPr>
          <w:rFonts w:ascii="Century Gothic" w:hAnsi="Century Gothic" w:cstheme="minorHAnsi"/>
          <w:sz w:val="20"/>
          <w:szCs w:val="20"/>
        </w:rPr>
        <w:t>any other person or company who may be unclear as to their position in relation to the Act</w:t>
      </w:r>
      <w:r w:rsidR="00651ABE" w:rsidRPr="00DA36B0">
        <w:rPr>
          <w:rFonts w:ascii="Century Gothic" w:hAnsi="Century Gothic" w:cstheme="minorHAnsi"/>
          <w:sz w:val="20"/>
          <w:szCs w:val="20"/>
        </w:rPr>
        <w:t xml:space="preserve">, </w:t>
      </w:r>
      <w:r w:rsidRPr="00DA36B0">
        <w:rPr>
          <w:rFonts w:ascii="Century Gothic" w:hAnsi="Century Gothic" w:cstheme="minorHAnsi"/>
          <w:sz w:val="20"/>
          <w:szCs w:val="20"/>
        </w:rPr>
        <w:t xml:space="preserve">who have not previously written to Bank of Jamaica on the matter, </w:t>
      </w:r>
      <w:r w:rsidR="00AC6E21" w:rsidRPr="00DA36B0">
        <w:rPr>
          <w:rFonts w:ascii="Century Gothic" w:hAnsi="Century Gothic" w:cstheme="minorHAnsi"/>
          <w:sz w:val="20"/>
          <w:szCs w:val="20"/>
        </w:rPr>
        <w:t>should</w:t>
      </w:r>
      <w:r w:rsidR="00887BAA" w:rsidRPr="00DA36B0">
        <w:rPr>
          <w:rFonts w:ascii="Century Gothic" w:hAnsi="Century Gothic" w:cstheme="minorHAnsi"/>
          <w:sz w:val="20"/>
          <w:szCs w:val="20"/>
        </w:rPr>
        <w:t xml:space="preserve"> contact Bank of Jamaica </w:t>
      </w:r>
      <w:r w:rsidR="00014887" w:rsidRPr="00DA36B0">
        <w:rPr>
          <w:rFonts w:ascii="Century Gothic" w:hAnsi="Century Gothic" w:cstheme="minorHAnsi"/>
          <w:b/>
          <w:sz w:val="20"/>
          <w:szCs w:val="20"/>
          <w:u w:val="single"/>
        </w:rPr>
        <w:t xml:space="preserve">on </w:t>
      </w:r>
      <w:r w:rsidR="00887BAA" w:rsidRPr="00DA36B0">
        <w:rPr>
          <w:rFonts w:ascii="Century Gothic" w:hAnsi="Century Gothic" w:cstheme="minorHAnsi"/>
          <w:b/>
          <w:sz w:val="20"/>
          <w:szCs w:val="20"/>
          <w:u w:val="single"/>
        </w:rPr>
        <w:t xml:space="preserve">or before </w:t>
      </w:r>
      <w:r w:rsidR="00FD62E1">
        <w:rPr>
          <w:rFonts w:ascii="Century Gothic" w:hAnsi="Century Gothic" w:cstheme="minorHAnsi"/>
          <w:b/>
          <w:sz w:val="20"/>
          <w:szCs w:val="20"/>
          <w:u w:val="single"/>
        </w:rPr>
        <w:t>Friday, 25</w:t>
      </w:r>
      <w:r w:rsidR="00887BAA" w:rsidRPr="00DA36B0">
        <w:rPr>
          <w:rFonts w:ascii="Century Gothic" w:hAnsi="Century Gothic" w:cstheme="minorHAnsi"/>
          <w:b/>
          <w:sz w:val="20"/>
          <w:szCs w:val="20"/>
          <w:u w:val="single"/>
        </w:rPr>
        <w:t xml:space="preserve"> May 2012</w:t>
      </w:r>
      <w:r w:rsidR="00887BAA" w:rsidRPr="00DA36B0">
        <w:rPr>
          <w:rFonts w:ascii="Century Gothic" w:hAnsi="Century Gothic" w:cstheme="minorHAnsi"/>
          <w:sz w:val="20"/>
          <w:szCs w:val="20"/>
        </w:rPr>
        <w:t xml:space="preserve"> and provide details of their business name</w:t>
      </w:r>
      <w:r w:rsidR="003A2799" w:rsidRPr="00DA36B0">
        <w:rPr>
          <w:rFonts w:ascii="Century Gothic" w:hAnsi="Century Gothic" w:cstheme="minorHAnsi"/>
          <w:sz w:val="20"/>
          <w:szCs w:val="20"/>
        </w:rPr>
        <w:t>,</w:t>
      </w:r>
      <w:r w:rsidR="00887BAA" w:rsidRPr="00DA36B0">
        <w:rPr>
          <w:rFonts w:ascii="Century Gothic" w:hAnsi="Century Gothic" w:cstheme="minorHAnsi"/>
          <w:sz w:val="20"/>
          <w:szCs w:val="20"/>
        </w:rPr>
        <w:t xml:space="preserve"> </w:t>
      </w:r>
      <w:r w:rsidR="003A2799" w:rsidRPr="00DA36B0">
        <w:rPr>
          <w:rFonts w:ascii="Century Gothic" w:hAnsi="Century Gothic" w:cstheme="minorHAnsi"/>
          <w:sz w:val="20"/>
          <w:szCs w:val="20"/>
        </w:rPr>
        <w:t xml:space="preserve">nature of services offered </w:t>
      </w:r>
      <w:r w:rsidR="00887BAA" w:rsidRPr="00DA36B0">
        <w:rPr>
          <w:rFonts w:ascii="Century Gothic" w:hAnsi="Century Gothic" w:cstheme="minorHAnsi"/>
          <w:sz w:val="20"/>
          <w:szCs w:val="20"/>
        </w:rPr>
        <w:t xml:space="preserve">as well as the actions that have been taken or </w:t>
      </w:r>
      <w:r w:rsidR="00E25885">
        <w:rPr>
          <w:rFonts w:ascii="Century Gothic" w:hAnsi="Century Gothic" w:cstheme="minorHAnsi"/>
          <w:sz w:val="20"/>
          <w:szCs w:val="20"/>
        </w:rPr>
        <w:t xml:space="preserve">are </w:t>
      </w:r>
      <w:r w:rsidR="00887BAA" w:rsidRPr="00DA36B0">
        <w:rPr>
          <w:rFonts w:ascii="Century Gothic" w:hAnsi="Century Gothic" w:cstheme="minorHAnsi"/>
          <w:sz w:val="20"/>
          <w:szCs w:val="20"/>
        </w:rPr>
        <w:t>proposed to be taken to ensure compliance with the Credit Reporting Act.</w:t>
      </w:r>
    </w:p>
    <w:p w:rsidR="00DA36B0" w:rsidRPr="00DA36B0" w:rsidRDefault="00DA36B0" w:rsidP="003A2799">
      <w:pPr>
        <w:spacing w:after="40"/>
        <w:jc w:val="both"/>
        <w:rPr>
          <w:rFonts w:ascii="Century Gothic" w:hAnsi="Century Gothic" w:cstheme="minorHAnsi"/>
          <w:sz w:val="20"/>
          <w:szCs w:val="20"/>
        </w:rPr>
      </w:pPr>
    </w:p>
    <w:p w:rsidR="00407D79" w:rsidRPr="00DA36B0" w:rsidRDefault="00407D79" w:rsidP="00407D79">
      <w:pPr>
        <w:spacing w:after="40"/>
        <w:rPr>
          <w:rFonts w:ascii="Century Gothic" w:hAnsi="Century Gothic" w:cstheme="minorHAnsi"/>
          <w:b/>
          <w:color w:val="0000FF" w:themeColor="hyperlink"/>
          <w:sz w:val="20"/>
          <w:szCs w:val="20"/>
        </w:rPr>
      </w:pPr>
      <w:r w:rsidRPr="00DA36B0">
        <w:rPr>
          <w:rFonts w:ascii="Century Gothic" w:hAnsi="Century Gothic" w:cstheme="minorHAnsi"/>
          <w:sz w:val="20"/>
          <w:szCs w:val="20"/>
        </w:rPr>
        <w:t xml:space="preserve">For further information, a copy of the Act is accessible from Bank of Jamaica’s website at: </w:t>
      </w:r>
      <w:hyperlink r:id="rId8" w:history="1">
        <w:r w:rsidRPr="00DA36B0">
          <w:rPr>
            <w:rStyle w:val="Hyperlink"/>
            <w:rFonts w:ascii="Century Gothic" w:hAnsi="Century Gothic" w:cstheme="minorHAnsi"/>
            <w:b/>
            <w:sz w:val="20"/>
            <w:szCs w:val="20"/>
            <w:u w:val="none"/>
          </w:rPr>
          <w:t>www.boj.org.jm/pdf/The_Credit_Reporting_Act_2010.pdf</w:t>
        </w:r>
      </w:hyperlink>
      <w:r w:rsidRPr="00DA36B0">
        <w:rPr>
          <w:rStyle w:val="Hyperlink"/>
          <w:rFonts w:ascii="Century Gothic" w:hAnsi="Century Gothic" w:cstheme="minorHAnsi"/>
          <w:b/>
          <w:sz w:val="20"/>
          <w:szCs w:val="20"/>
          <w:u w:val="none"/>
        </w:rPr>
        <w:t>.</w:t>
      </w:r>
    </w:p>
    <w:p w:rsidR="00407D79" w:rsidRPr="00DA36B0" w:rsidRDefault="00407D79" w:rsidP="003A2799">
      <w:pPr>
        <w:spacing w:after="40"/>
        <w:jc w:val="both"/>
        <w:rPr>
          <w:rFonts w:ascii="Century Gothic" w:hAnsi="Century Gothic" w:cstheme="minorHAnsi"/>
          <w:sz w:val="20"/>
          <w:szCs w:val="20"/>
        </w:rPr>
      </w:pPr>
    </w:p>
    <w:p w:rsidR="00D20C45" w:rsidRPr="00DA36B0" w:rsidRDefault="00D20C45" w:rsidP="003A2799">
      <w:pPr>
        <w:spacing w:after="40"/>
        <w:rPr>
          <w:rFonts w:ascii="Century Gothic" w:hAnsi="Century Gothic" w:cstheme="minorHAnsi"/>
          <w:sz w:val="20"/>
          <w:szCs w:val="20"/>
        </w:rPr>
      </w:pPr>
    </w:p>
    <w:p w:rsidR="00887BAA" w:rsidRPr="00DA36B0" w:rsidRDefault="00887BAA" w:rsidP="00014887">
      <w:pPr>
        <w:spacing w:after="0"/>
        <w:jc w:val="both"/>
        <w:rPr>
          <w:rFonts w:ascii="Century Gothic" w:hAnsi="Century Gothic" w:cstheme="minorHAnsi"/>
          <w:sz w:val="20"/>
          <w:szCs w:val="20"/>
        </w:rPr>
      </w:pPr>
      <w:r w:rsidRPr="00DA36B0">
        <w:rPr>
          <w:rFonts w:ascii="Century Gothic" w:hAnsi="Century Gothic" w:cstheme="minorHAnsi"/>
          <w:sz w:val="20"/>
          <w:szCs w:val="20"/>
        </w:rPr>
        <w:t>Bank of Jamaica</w:t>
      </w:r>
    </w:p>
    <w:p w:rsidR="00014887" w:rsidRPr="00DA36B0" w:rsidRDefault="00014887" w:rsidP="00AC6E21">
      <w:pPr>
        <w:spacing w:after="0"/>
        <w:jc w:val="both"/>
        <w:rPr>
          <w:rFonts w:ascii="Century Gothic" w:hAnsi="Century Gothic" w:cstheme="minorHAnsi"/>
          <w:sz w:val="20"/>
          <w:szCs w:val="20"/>
        </w:rPr>
      </w:pPr>
      <w:r w:rsidRPr="00DA36B0">
        <w:rPr>
          <w:rFonts w:ascii="Century Gothic" w:hAnsi="Century Gothic" w:cstheme="minorHAnsi"/>
          <w:sz w:val="20"/>
          <w:szCs w:val="20"/>
        </w:rPr>
        <w:t>Credit Bureau Oversight</w:t>
      </w:r>
    </w:p>
    <w:p w:rsidR="00887BAA" w:rsidRPr="00DA36B0" w:rsidRDefault="00887BAA" w:rsidP="00AC6E21">
      <w:pPr>
        <w:spacing w:after="0"/>
        <w:jc w:val="both"/>
        <w:rPr>
          <w:rFonts w:ascii="Century Gothic" w:hAnsi="Century Gothic" w:cstheme="minorHAnsi"/>
          <w:sz w:val="20"/>
          <w:szCs w:val="20"/>
        </w:rPr>
      </w:pPr>
      <w:r w:rsidRPr="00DA36B0">
        <w:rPr>
          <w:rFonts w:ascii="Century Gothic" w:hAnsi="Century Gothic" w:cstheme="minorHAnsi"/>
          <w:sz w:val="20"/>
          <w:szCs w:val="20"/>
        </w:rPr>
        <w:t>P.O. Box 621</w:t>
      </w:r>
    </w:p>
    <w:p w:rsidR="00887BAA" w:rsidRPr="00DA36B0" w:rsidRDefault="00887BAA" w:rsidP="00AC6E21">
      <w:pPr>
        <w:spacing w:after="0"/>
        <w:jc w:val="both"/>
        <w:rPr>
          <w:rFonts w:ascii="Century Gothic" w:hAnsi="Century Gothic" w:cstheme="minorHAnsi"/>
          <w:sz w:val="20"/>
          <w:szCs w:val="20"/>
        </w:rPr>
      </w:pPr>
      <w:r w:rsidRPr="00DA36B0">
        <w:rPr>
          <w:rFonts w:ascii="Century Gothic" w:hAnsi="Century Gothic" w:cstheme="minorHAnsi"/>
          <w:sz w:val="20"/>
          <w:szCs w:val="20"/>
        </w:rPr>
        <w:t>Kingston</w:t>
      </w:r>
    </w:p>
    <w:p w:rsidR="007210BC" w:rsidRPr="00DA36B0" w:rsidRDefault="007210BC" w:rsidP="003A2799">
      <w:pPr>
        <w:spacing w:after="40"/>
        <w:jc w:val="both"/>
        <w:rPr>
          <w:rFonts w:ascii="Century Gothic" w:hAnsi="Century Gothic" w:cstheme="minorHAnsi"/>
          <w:sz w:val="20"/>
          <w:szCs w:val="20"/>
        </w:rPr>
      </w:pPr>
    </w:p>
    <w:p w:rsidR="00AC6E21" w:rsidRPr="00DA36B0" w:rsidRDefault="00AC6E21" w:rsidP="003A2799">
      <w:pPr>
        <w:spacing w:after="40"/>
        <w:jc w:val="both"/>
        <w:rPr>
          <w:rFonts w:ascii="Century Gothic" w:hAnsi="Century Gothic" w:cstheme="minorHAnsi"/>
          <w:sz w:val="20"/>
          <w:szCs w:val="20"/>
        </w:rPr>
      </w:pPr>
      <w:r w:rsidRPr="00DA36B0">
        <w:rPr>
          <w:rFonts w:ascii="Century Gothic" w:hAnsi="Century Gothic" w:cstheme="minorHAnsi"/>
          <w:sz w:val="20"/>
          <w:szCs w:val="20"/>
        </w:rPr>
        <w:t>Tel: 922-0750</w:t>
      </w:r>
    </w:p>
    <w:p w:rsidR="00B578C5" w:rsidRPr="00DA36B0" w:rsidRDefault="00887BAA" w:rsidP="00DA36B0">
      <w:pPr>
        <w:spacing w:after="40"/>
        <w:jc w:val="both"/>
        <w:rPr>
          <w:rFonts w:ascii="Century Gothic" w:hAnsi="Century Gothic" w:cs="Times New Roman"/>
          <w:sz w:val="20"/>
          <w:szCs w:val="20"/>
        </w:rPr>
      </w:pPr>
      <w:r w:rsidRPr="00DA36B0">
        <w:rPr>
          <w:rFonts w:ascii="Century Gothic" w:hAnsi="Century Gothic" w:cstheme="minorHAnsi"/>
          <w:sz w:val="20"/>
          <w:szCs w:val="20"/>
        </w:rPr>
        <w:t xml:space="preserve">E-mail: </w:t>
      </w:r>
      <w:hyperlink r:id="rId9" w:history="1">
        <w:r w:rsidR="003A2799" w:rsidRPr="00DA36B0">
          <w:rPr>
            <w:rStyle w:val="Hyperlink"/>
            <w:rFonts w:ascii="Century Gothic" w:hAnsi="Century Gothic" w:cstheme="minorHAnsi"/>
            <w:sz w:val="20"/>
            <w:szCs w:val="20"/>
          </w:rPr>
          <w:t>cbinfo@boj.org.jm</w:t>
        </w:r>
      </w:hyperlink>
      <w:r w:rsidR="00B578C5" w:rsidRPr="00DA36B0">
        <w:rPr>
          <w:rFonts w:ascii="Century Gothic" w:hAnsi="Century Gothic" w:cs="Times New Roman"/>
          <w:sz w:val="20"/>
          <w:szCs w:val="20"/>
        </w:rPr>
        <w:tab/>
      </w:r>
    </w:p>
    <w:sectPr w:rsidR="00B578C5" w:rsidRPr="00DA36B0" w:rsidSect="006655F7">
      <w:pgSz w:w="12240" w:h="15840"/>
      <w:pgMar w:top="144"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D3D7E"/>
    <w:multiLevelType w:val="hybridMultilevel"/>
    <w:tmpl w:val="1F267BA2"/>
    <w:lvl w:ilvl="0" w:tplc="A8CE5D2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637EF7"/>
    <w:multiLevelType w:val="hybridMultilevel"/>
    <w:tmpl w:val="42DA3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BEB"/>
    <w:rsid w:val="00014887"/>
    <w:rsid w:val="00024389"/>
    <w:rsid w:val="00034C71"/>
    <w:rsid w:val="0008323D"/>
    <w:rsid w:val="00086624"/>
    <w:rsid w:val="000905D9"/>
    <w:rsid w:val="000A11D3"/>
    <w:rsid w:val="000B1A1D"/>
    <w:rsid w:val="00113D0F"/>
    <w:rsid w:val="00122AFC"/>
    <w:rsid w:val="00141BA4"/>
    <w:rsid w:val="001979EB"/>
    <w:rsid w:val="00204A16"/>
    <w:rsid w:val="00206979"/>
    <w:rsid w:val="00220F67"/>
    <w:rsid w:val="0023026D"/>
    <w:rsid w:val="00236D95"/>
    <w:rsid w:val="002401D7"/>
    <w:rsid w:val="002435DD"/>
    <w:rsid w:val="002B37B7"/>
    <w:rsid w:val="002B4617"/>
    <w:rsid w:val="002D0056"/>
    <w:rsid w:val="0032133E"/>
    <w:rsid w:val="00321D2E"/>
    <w:rsid w:val="00327098"/>
    <w:rsid w:val="0038155B"/>
    <w:rsid w:val="003A2799"/>
    <w:rsid w:val="003D7BB8"/>
    <w:rsid w:val="00400529"/>
    <w:rsid w:val="004054EE"/>
    <w:rsid w:val="004063F1"/>
    <w:rsid w:val="00407D79"/>
    <w:rsid w:val="004158A9"/>
    <w:rsid w:val="004265EC"/>
    <w:rsid w:val="00477053"/>
    <w:rsid w:val="004C412E"/>
    <w:rsid w:val="004F4125"/>
    <w:rsid w:val="005B1352"/>
    <w:rsid w:val="005D27EC"/>
    <w:rsid w:val="005D368D"/>
    <w:rsid w:val="005E446D"/>
    <w:rsid w:val="00603FCC"/>
    <w:rsid w:val="006261C9"/>
    <w:rsid w:val="0063077B"/>
    <w:rsid w:val="00634436"/>
    <w:rsid w:val="0065010F"/>
    <w:rsid w:val="00651ABE"/>
    <w:rsid w:val="006655F7"/>
    <w:rsid w:val="00697E11"/>
    <w:rsid w:val="006D57CB"/>
    <w:rsid w:val="00713337"/>
    <w:rsid w:val="00717D68"/>
    <w:rsid w:val="007210BC"/>
    <w:rsid w:val="00727274"/>
    <w:rsid w:val="007324FF"/>
    <w:rsid w:val="00750A79"/>
    <w:rsid w:val="00794B79"/>
    <w:rsid w:val="007B066C"/>
    <w:rsid w:val="007E4564"/>
    <w:rsid w:val="007F39E8"/>
    <w:rsid w:val="00814C16"/>
    <w:rsid w:val="00843397"/>
    <w:rsid w:val="00847C7E"/>
    <w:rsid w:val="00887BAA"/>
    <w:rsid w:val="008B2404"/>
    <w:rsid w:val="008E7890"/>
    <w:rsid w:val="008F3A87"/>
    <w:rsid w:val="00917069"/>
    <w:rsid w:val="0092658A"/>
    <w:rsid w:val="00975628"/>
    <w:rsid w:val="00976BEB"/>
    <w:rsid w:val="009948A9"/>
    <w:rsid w:val="009A7F0A"/>
    <w:rsid w:val="009F0EB7"/>
    <w:rsid w:val="00A0333C"/>
    <w:rsid w:val="00AA7058"/>
    <w:rsid w:val="00AC06AA"/>
    <w:rsid w:val="00AC2D20"/>
    <w:rsid w:val="00AC6E21"/>
    <w:rsid w:val="00AD7CA4"/>
    <w:rsid w:val="00AE4A41"/>
    <w:rsid w:val="00AE4B8F"/>
    <w:rsid w:val="00AF4989"/>
    <w:rsid w:val="00B2235D"/>
    <w:rsid w:val="00B37570"/>
    <w:rsid w:val="00B578C5"/>
    <w:rsid w:val="00B672DC"/>
    <w:rsid w:val="00B855A6"/>
    <w:rsid w:val="00BB2F9E"/>
    <w:rsid w:val="00BC0C58"/>
    <w:rsid w:val="00C136A1"/>
    <w:rsid w:val="00C26FF8"/>
    <w:rsid w:val="00C33263"/>
    <w:rsid w:val="00C4287B"/>
    <w:rsid w:val="00C510DD"/>
    <w:rsid w:val="00C52130"/>
    <w:rsid w:val="00C77102"/>
    <w:rsid w:val="00D04165"/>
    <w:rsid w:val="00D20C45"/>
    <w:rsid w:val="00D217C2"/>
    <w:rsid w:val="00D3264A"/>
    <w:rsid w:val="00D329DA"/>
    <w:rsid w:val="00D52046"/>
    <w:rsid w:val="00D94BBD"/>
    <w:rsid w:val="00DA36B0"/>
    <w:rsid w:val="00DA5C71"/>
    <w:rsid w:val="00DB0EC5"/>
    <w:rsid w:val="00DF1028"/>
    <w:rsid w:val="00DF3E16"/>
    <w:rsid w:val="00DF7DB6"/>
    <w:rsid w:val="00E25885"/>
    <w:rsid w:val="00E8171E"/>
    <w:rsid w:val="00E851A8"/>
    <w:rsid w:val="00EA13CA"/>
    <w:rsid w:val="00ED6817"/>
    <w:rsid w:val="00F7135F"/>
    <w:rsid w:val="00FA0F6E"/>
    <w:rsid w:val="00FA7906"/>
    <w:rsid w:val="00FD62E1"/>
    <w:rsid w:val="00FE3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655F7"/>
    <w:pPr>
      <w:keepNext/>
      <w:spacing w:after="0"/>
      <w:jc w:val="right"/>
      <w:outlineLvl w:val="0"/>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397"/>
    <w:rPr>
      <w:color w:val="0000FF" w:themeColor="hyperlink"/>
      <w:u w:val="single"/>
    </w:rPr>
  </w:style>
  <w:style w:type="paragraph" w:styleId="ListParagraph">
    <w:name w:val="List Paragraph"/>
    <w:basedOn w:val="Normal"/>
    <w:uiPriority w:val="34"/>
    <w:qFormat/>
    <w:rsid w:val="0092658A"/>
    <w:pPr>
      <w:ind w:left="720"/>
      <w:contextualSpacing/>
    </w:pPr>
  </w:style>
  <w:style w:type="paragraph" w:styleId="BalloonText">
    <w:name w:val="Balloon Text"/>
    <w:basedOn w:val="Normal"/>
    <w:link w:val="BalloonTextChar"/>
    <w:uiPriority w:val="99"/>
    <w:semiHidden/>
    <w:unhideWhenUsed/>
    <w:rsid w:val="00B672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2DC"/>
    <w:rPr>
      <w:rFonts w:ascii="Tahoma" w:hAnsi="Tahoma" w:cs="Tahoma"/>
      <w:sz w:val="16"/>
      <w:szCs w:val="16"/>
    </w:rPr>
  </w:style>
  <w:style w:type="character" w:styleId="CommentReference">
    <w:name w:val="annotation reference"/>
    <w:basedOn w:val="DefaultParagraphFont"/>
    <w:uiPriority w:val="99"/>
    <w:semiHidden/>
    <w:unhideWhenUsed/>
    <w:rsid w:val="00C77102"/>
    <w:rPr>
      <w:sz w:val="16"/>
      <w:szCs w:val="16"/>
    </w:rPr>
  </w:style>
  <w:style w:type="paragraph" w:styleId="CommentText">
    <w:name w:val="annotation text"/>
    <w:basedOn w:val="Normal"/>
    <w:link w:val="CommentTextChar"/>
    <w:uiPriority w:val="99"/>
    <w:semiHidden/>
    <w:unhideWhenUsed/>
    <w:rsid w:val="00C77102"/>
    <w:rPr>
      <w:sz w:val="20"/>
      <w:szCs w:val="20"/>
    </w:rPr>
  </w:style>
  <w:style w:type="character" w:customStyle="1" w:styleId="CommentTextChar">
    <w:name w:val="Comment Text Char"/>
    <w:basedOn w:val="DefaultParagraphFont"/>
    <w:link w:val="CommentText"/>
    <w:uiPriority w:val="99"/>
    <w:semiHidden/>
    <w:rsid w:val="00C77102"/>
    <w:rPr>
      <w:sz w:val="20"/>
      <w:szCs w:val="20"/>
    </w:rPr>
  </w:style>
  <w:style w:type="paragraph" w:styleId="CommentSubject">
    <w:name w:val="annotation subject"/>
    <w:basedOn w:val="CommentText"/>
    <w:next w:val="CommentText"/>
    <w:link w:val="CommentSubjectChar"/>
    <w:uiPriority w:val="99"/>
    <w:semiHidden/>
    <w:unhideWhenUsed/>
    <w:rsid w:val="00C77102"/>
    <w:rPr>
      <w:b/>
      <w:bCs/>
    </w:rPr>
  </w:style>
  <w:style w:type="character" w:customStyle="1" w:styleId="CommentSubjectChar">
    <w:name w:val="Comment Subject Char"/>
    <w:basedOn w:val="CommentTextChar"/>
    <w:link w:val="CommentSubject"/>
    <w:uiPriority w:val="99"/>
    <w:semiHidden/>
    <w:rsid w:val="00C77102"/>
    <w:rPr>
      <w:b/>
      <w:bCs/>
      <w:sz w:val="20"/>
      <w:szCs w:val="20"/>
    </w:rPr>
  </w:style>
  <w:style w:type="character" w:customStyle="1" w:styleId="Heading1Char">
    <w:name w:val="Heading 1 Char"/>
    <w:basedOn w:val="DefaultParagraphFont"/>
    <w:link w:val="Heading1"/>
    <w:rsid w:val="006655F7"/>
    <w:rPr>
      <w:rFonts w:ascii="Times New Roman" w:eastAsia="Times New Roman" w:hAnsi="Times New Roman" w:cs="Times New Roman"/>
      <w:b/>
      <w:b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655F7"/>
    <w:pPr>
      <w:keepNext/>
      <w:spacing w:after="0"/>
      <w:jc w:val="right"/>
      <w:outlineLvl w:val="0"/>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397"/>
    <w:rPr>
      <w:color w:val="0000FF" w:themeColor="hyperlink"/>
      <w:u w:val="single"/>
    </w:rPr>
  </w:style>
  <w:style w:type="paragraph" w:styleId="ListParagraph">
    <w:name w:val="List Paragraph"/>
    <w:basedOn w:val="Normal"/>
    <w:uiPriority w:val="34"/>
    <w:qFormat/>
    <w:rsid w:val="0092658A"/>
    <w:pPr>
      <w:ind w:left="720"/>
      <w:contextualSpacing/>
    </w:pPr>
  </w:style>
  <w:style w:type="paragraph" w:styleId="BalloonText">
    <w:name w:val="Balloon Text"/>
    <w:basedOn w:val="Normal"/>
    <w:link w:val="BalloonTextChar"/>
    <w:uiPriority w:val="99"/>
    <w:semiHidden/>
    <w:unhideWhenUsed/>
    <w:rsid w:val="00B672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2DC"/>
    <w:rPr>
      <w:rFonts w:ascii="Tahoma" w:hAnsi="Tahoma" w:cs="Tahoma"/>
      <w:sz w:val="16"/>
      <w:szCs w:val="16"/>
    </w:rPr>
  </w:style>
  <w:style w:type="character" w:styleId="CommentReference">
    <w:name w:val="annotation reference"/>
    <w:basedOn w:val="DefaultParagraphFont"/>
    <w:uiPriority w:val="99"/>
    <w:semiHidden/>
    <w:unhideWhenUsed/>
    <w:rsid w:val="00C77102"/>
    <w:rPr>
      <w:sz w:val="16"/>
      <w:szCs w:val="16"/>
    </w:rPr>
  </w:style>
  <w:style w:type="paragraph" w:styleId="CommentText">
    <w:name w:val="annotation text"/>
    <w:basedOn w:val="Normal"/>
    <w:link w:val="CommentTextChar"/>
    <w:uiPriority w:val="99"/>
    <w:semiHidden/>
    <w:unhideWhenUsed/>
    <w:rsid w:val="00C77102"/>
    <w:rPr>
      <w:sz w:val="20"/>
      <w:szCs w:val="20"/>
    </w:rPr>
  </w:style>
  <w:style w:type="character" w:customStyle="1" w:styleId="CommentTextChar">
    <w:name w:val="Comment Text Char"/>
    <w:basedOn w:val="DefaultParagraphFont"/>
    <w:link w:val="CommentText"/>
    <w:uiPriority w:val="99"/>
    <w:semiHidden/>
    <w:rsid w:val="00C77102"/>
    <w:rPr>
      <w:sz w:val="20"/>
      <w:szCs w:val="20"/>
    </w:rPr>
  </w:style>
  <w:style w:type="paragraph" w:styleId="CommentSubject">
    <w:name w:val="annotation subject"/>
    <w:basedOn w:val="CommentText"/>
    <w:next w:val="CommentText"/>
    <w:link w:val="CommentSubjectChar"/>
    <w:uiPriority w:val="99"/>
    <w:semiHidden/>
    <w:unhideWhenUsed/>
    <w:rsid w:val="00C77102"/>
    <w:rPr>
      <w:b/>
      <w:bCs/>
    </w:rPr>
  </w:style>
  <w:style w:type="character" w:customStyle="1" w:styleId="CommentSubjectChar">
    <w:name w:val="Comment Subject Char"/>
    <w:basedOn w:val="CommentTextChar"/>
    <w:link w:val="CommentSubject"/>
    <w:uiPriority w:val="99"/>
    <w:semiHidden/>
    <w:rsid w:val="00C77102"/>
    <w:rPr>
      <w:b/>
      <w:bCs/>
      <w:sz w:val="20"/>
      <w:szCs w:val="20"/>
    </w:rPr>
  </w:style>
  <w:style w:type="character" w:customStyle="1" w:styleId="Heading1Char">
    <w:name w:val="Heading 1 Char"/>
    <w:basedOn w:val="DefaultParagraphFont"/>
    <w:link w:val="Heading1"/>
    <w:rsid w:val="006655F7"/>
    <w:rPr>
      <w:rFonts w:ascii="Times New Roman" w:eastAsia="Times New Roman" w:hAnsi="Times New Roman" w:cs="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j.org.jm/pdf/The_Credit_Reporting_Act_2010.pdf"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binfo@boj.org.j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38BB9-36F3-4479-A812-FA245EF4D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BOJ</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McKenzie</dc:creator>
  <cp:lastModifiedBy>Rowena Atkinson</cp:lastModifiedBy>
  <cp:revision>2</cp:revision>
  <cp:lastPrinted>2012-05-01T15:17:00Z</cp:lastPrinted>
  <dcterms:created xsi:type="dcterms:W3CDTF">2012-05-01T17:36:00Z</dcterms:created>
  <dcterms:modified xsi:type="dcterms:W3CDTF">2012-05-01T17:36:00Z</dcterms:modified>
</cp:coreProperties>
</file>